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4.11.0 -->
  <w:body>
    <w:tbl>
      <w:tblPr>
        <w:tblStyle w:val="TableGrid"/>
        <w:tblW w:w="14400" w:type="dxa"/>
        <w:jc w:val="center"/>
        <w:tblLook w:val="04A0"/>
      </w:tblPr>
      <w:tblGrid>
        <w:gridCol w:w="917"/>
        <w:gridCol w:w="1778"/>
        <w:gridCol w:w="1430"/>
        <w:gridCol w:w="1852"/>
        <w:gridCol w:w="1896"/>
        <w:gridCol w:w="1446"/>
        <w:gridCol w:w="1249"/>
        <w:gridCol w:w="1078"/>
        <w:gridCol w:w="1374"/>
        <w:gridCol w:w="1380"/>
      </w:tblGrid>
      <w:tr w14:paraId="0C91DBD3" w14:textId="77777777" w:rsidTr="00F6104D">
        <w:tblPrEx>
          <w:tblW w:w="14400" w:type="dxa"/>
          <w:jc w:val="center"/>
          <w:tblLook w:val="04A0"/>
        </w:tblPrEx>
        <w:trPr>
          <w:trHeight w:val="434"/>
          <w:jc w:val="center"/>
        </w:trPr>
        <w:tc>
          <w:tcPr>
            <w:tcW w:w="1440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6104D" w:rsidRPr="00D77694" w:rsidP="00D77694" w14:paraId="2921B10C" w14:textId="5BE16F18">
            <w:pPr>
              <w:ind w:firstLine="361"/>
              <w:jc w:val="left"/>
              <w:rPr>
                <w:b/>
                <w:bCs/>
                <w:sz w:val="18"/>
                <w:szCs w:val="18"/>
                <w:lang w:val=""/>
              </w:rPr>
            </w:pPr>
            <w:r w:rsidRPr="00D77694">
              <w:rPr>
                <w:b/>
                <w:bCs/>
                <w:sz w:val="18"/>
                <w:szCs w:val="18"/>
                <w:lang w:val=""/>
              </w:rPr>
              <w:t>Supplementary</w:t>
            </w:r>
            <w:r>
              <w:rPr>
                <w:b/>
                <w:bCs/>
                <w:sz w:val="18"/>
                <w:szCs w:val="18"/>
              </w:rPr>
              <w:t xml:space="preserve"> </w:t>
            </w:r>
            <w:r w:rsidR="00225A52">
              <w:rPr>
                <w:b/>
                <w:bCs/>
                <w:sz w:val="18"/>
                <w:szCs w:val="18"/>
              </w:rPr>
              <w:t xml:space="preserve">Table </w:t>
            </w:r>
            <w:r w:rsidRPr="00F6104D">
              <w:rPr>
                <w:b/>
                <w:bCs/>
                <w:sz w:val="18"/>
                <w:szCs w:val="18"/>
              </w:rPr>
              <w:t>1. Summary of the characteristics of the included studies</w:t>
            </w:r>
          </w:p>
        </w:tc>
      </w:tr>
      <w:tr w14:paraId="3AFCA0D9" w14:textId="77777777" w:rsidTr="00F6104D">
        <w:tblPrEx>
          <w:tblW w:w="14400" w:type="dxa"/>
          <w:jc w:val="center"/>
          <w:tblLook w:val="04A0"/>
        </w:tblPrEx>
        <w:trPr>
          <w:trHeight w:val="58"/>
          <w:jc w:val="center"/>
        </w:trPr>
        <w:tc>
          <w:tcPr>
            <w:tcW w:w="935" w:type="dxa"/>
            <w:tcBorders>
              <w:left w:val="nil"/>
              <w:right w:val="nil"/>
            </w:tcBorders>
          </w:tcPr>
          <w:p w:rsidR="00F6104D" w:rsidRPr="00F6104D" w:rsidP="009668DD" w14:paraId="52AAE58C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Author and year</w:t>
            </w:r>
          </w:p>
        </w:tc>
        <w:tc>
          <w:tcPr>
            <w:tcW w:w="1818" w:type="dxa"/>
            <w:tcBorders>
              <w:left w:val="nil"/>
              <w:right w:val="nil"/>
            </w:tcBorders>
          </w:tcPr>
          <w:p w:rsidR="00F6104D" w:rsidRPr="00F6104D" w:rsidP="009668DD" w14:paraId="01351909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Study design, country, and timing</w:t>
            </w:r>
          </w:p>
        </w:tc>
        <w:tc>
          <w:tcPr>
            <w:tcW w:w="1459" w:type="dxa"/>
            <w:tcBorders>
              <w:left w:val="nil"/>
              <w:right w:val="nil"/>
            </w:tcBorders>
          </w:tcPr>
          <w:p w:rsidR="00F6104D" w:rsidRPr="00F6104D" w:rsidP="009668DD" w14:paraId="6D0E1455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Sample size</w:t>
            </w:r>
          </w:p>
        </w:tc>
        <w:tc>
          <w:tcPr>
            <w:tcW w:w="1894" w:type="dxa"/>
            <w:tcBorders>
              <w:left w:val="nil"/>
              <w:right w:val="nil"/>
            </w:tcBorders>
          </w:tcPr>
          <w:p w:rsidR="00F6104D" w:rsidRPr="00F6104D" w:rsidP="009668DD" w14:paraId="502EE535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Inclusion criteria</w:t>
            </w:r>
          </w:p>
        </w:tc>
        <w:tc>
          <w:tcPr>
            <w:tcW w:w="1636" w:type="dxa"/>
            <w:tcBorders>
              <w:left w:val="nil"/>
              <w:right w:val="nil"/>
            </w:tcBorders>
          </w:tcPr>
          <w:p w:rsidR="00F6104D" w:rsidRPr="00F6104D" w:rsidP="009668DD" w14:paraId="321C1006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Exclusion criteria</w:t>
            </w:r>
          </w:p>
        </w:tc>
        <w:tc>
          <w:tcPr>
            <w:tcW w:w="1478" w:type="dxa"/>
            <w:tcBorders>
              <w:left w:val="nil"/>
              <w:right w:val="nil"/>
            </w:tcBorders>
          </w:tcPr>
          <w:p w:rsidR="00F6104D" w:rsidRPr="00F6104D" w:rsidP="009668DD" w14:paraId="799F93FD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Dose</w:t>
            </w:r>
          </w:p>
        </w:tc>
        <w:tc>
          <w:tcPr>
            <w:tcW w:w="1276" w:type="dxa"/>
            <w:tcBorders>
              <w:left w:val="nil"/>
              <w:right w:val="nil"/>
            </w:tcBorders>
          </w:tcPr>
          <w:p w:rsidR="00F6104D" w:rsidRPr="00F6104D" w:rsidP="009668DD" w14:paraId="79FD3AA1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Duration of treatment</w:t>
            </w:r>
          </w:p>
        </w:tc>
        <w:tc>
          <w:tcPr>
            <w:tcW w:w="1100" w:type="dxa"/>
            <w:tcBorders>
              <w:left w:val="nil"/>
              <w:right w:val="nil"/>
            </w:tcBorders>
          </w:tcPr>
          <w:p w:rsidR="00F6104D" w:rsidRPr="00F6104D" w:rsidP="009668DD" w14:paraId="02BF3E15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Duration of follow-up</w:t>
            </w:r>
          </w:p>
        </w:tc>
        <w:tc>
          <w:tcPr>
            <w:tcW w:w="1402" w:type="dxa"/>
            <w:tcBorders>
              <w:left w:val="nil"/>
              <w:right w:val="nil"/>
            </w:tcBorders>
          </w:tcPr>
          <w:p w:rsidR="00F6104D" w:rsidRPr="00F6104D" w:rsidP="009668DD" w14:paraId="7DBD6E63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Outcomes</w:t>
            </w:r>
          </w:p>
        </w:tc>
        <w:tc>
          <w:tcPr>
            <w:tcW w:w="1402" w:type="dxa"/>
            <w:tcBorders>
              <w:left w:val="nil"/>
              <w:right w:val="nil"/>
            </w:tcBorders>
          </w:tcPr>
          <w:p w:rsidR="00F6104D" w:rsidRPr="00F6104D" w:rsidP="009668DD" w14:paraId="6740C619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b/>
                <w:bCs/>
                <w:sz w:val="18"/>
                <w:szCs w:val="18"/>
              </w:rPr>
              <w:t>Results</w:t>
            </w:r>
          </w:p>
        </w:tc>
      </w:tr>
      <w:tr w14:paraId="23CFAD46" w14:textId="77777777" w:rsidTr="00F6104D">
        <w:tblPrEx>
          <w:tblW w:w="14400" w:type="dxa"/>
          <w:jc w:val="center"/>
          <w:tblLook w:val="04A0"/>
        </w:tblPrEx>
        <w:trPr>
          <w:trHeight w:val="4032"/>
          <w:jc w:val="center"/>
        </w:trPr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08B370AA" w14:textId="1ABDB999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Horne et. al. 2023</w:t>
            </w:r>
          </w:p>
        </w:tc>
        <w:tc>
          <w:tcPr>
            <w:tcW w:w="1818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66F5D657" w14:textId="1F971DB2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RCT, United Kingdom, between Nov 2, 2016, and</w:t>
            </w:r>
          </w:p>
          <w:p w:rsidR="00F6104D" w:rsidRPr="00F6104D" w:rsidP="005510C9" w14:textId="1F971DB2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Oct 6, 2021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459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1EE458FF" w14:textId="2A1EB328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165 participants in the methotrexate plus gefitinib group and 163 in the methotrexate plus placebo group.</w:t>
            </w:r>
          </w:p>
          <w:p w:rsidR="00F6104D" w:rsidRPr="004D44DC" w:rsidP="005510C9" w14:paraId="002CA45F" w14:textId="3936F465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894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7686B2BF" w14:textId="3621248C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Women aged 1850 years, with pretreatment serum hCG levels between 1000–5000 IU/L, clinically stable, hemoglobin 100–165 g/L, and either a definite or probable diagnosis of tubal ectopic pregnancy.</w:t>
            </w:r>
          </w:p>
          <w:p w:rsidR="00F6104D" w:rsidRPr="004D44DC" w:rsidP="005510C9" w14:paraId="4BAA7F0B" w14:textId="28844971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4D44DC" w:rsidP="004D44DC" w14:paraId="66D89B1E" w14:textId="15B1B0E6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Pregnancy of unknown location, intrauterine pregnancy, ectopic gestational sac &gt;3.5 cm, intra-abdominal bleeding, abnormal liver/renal/hematologic parameters, existing lung, dermatologic, or gastrointestinal disease, and Japanese ethnicity.</w:t>
            </w:r>
          </w:p>
        </w:tc>
        <w:tc>
          <w:tcPr>
            <w:tcW w:w="1478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35C7BAFE" w14:textId="77777777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Daily oral gefitinib 250 mg for 7 days, combined with a single dose of intramuscular methotrexate 50 mg/m² on Day 1.</w:t>
            </w:r>
          </w:p>
          <w:p w:rsidR="004D44DC" w:rsidRPr="004D44DC" w:rsidP="005510C9" w14:paraId="1EC3B920" w14:textId="39A45947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E352D3" w14:paraId="55A1B154" w14:textId="6CD8990A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7 days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9668DD" w14:paraId="371CBFE7" w14:textId="52ADB3D3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3 months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51EAEB5A" w14:textId="7C9A16B3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Surgical intervention, need for additional methotrexate doses, time to resolution of ectopic pregnancy, treatment-related hospital visits, adverse events, return to menses, and treatment acceptability.</w:t>
            </w:r>
          </w:p>
          <w:p w:rsidR="00F6104D" w:rsidRPr="004D44DC" w:rsidP="005510C9" w14:paraId="64FAD955" w14:textId="3C53CAD1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5E677EF1" w14:textId="6C9AC989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Gefitinib combined with methotrexate offered no clinical benefit over methotrexate alone for tubal ectopic pregnancy and was linked to a higher frequency of minor adverse effects.</w:t>
            </w:r>
          </w:p>
          <w:p w:rsidR="00F6104D" w:rsidRPr="004D44DC" w:rsidP="005510C9" w14:paraId="0670789C" w14:textId="437DC662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</w:tr>
      <w:tr w14:paraId="31F4A4D3" w14:textId="77777777" w:rsidTr="00F6104D">
        <w:tblPrEx>
          <w:tblW w:w="14400" w:type="dxa"/>
          <w:jc w:val="center"/>
          <w:tblLook w:val="04A0"/>
        </w:tblPrEx>
        <w:trPr>
          <w:trHeight w:val="825"/>
          <w:jc w:val="center"/>
        </w:trPr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71371D89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Skubisz</w:t>
            </w:r>
            <w:r w:rsidRPr="00F6104D">
              <w:rPr>
                <w:sz w:val="18"/>
                <w:szCs w:val="18"/>
              </w:rPr>
              <w:t xml:space="preserve"> et. al. 2018</w:t>
            </w:r>
          </w:p>
        </w:tc>
        <w:tc>
          <w:tcPr>
            <w:tcW w:w="1818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6A74F911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 xml:space="preserve">Single-arm clinical trial with contemporaneous control, </w:t>
            </w:r>
            <w:r w:rsidRPr="00F6104D">
              <w:rPr>
                <w:sz w:val="18"/>
                <w:szCs w:val="18"/>
              </w:rPr>
              <w:t>Australia</w:t>
            </w:r>
            <w:r w:rsidRPr="00F6104D">
              <w:rPr>
                <w:sz w:val="18"/>
                <w:szCs w:val="18"/>
              </w:rPr>
              <w:t xml:space="preserve"> and the United Kingdom, between January 2012 and April 2014.</w:t>
            </w:r>
          </w:p>
        </w:tc>
        <w:tc>
          <w:tcPr>
            <w:tcW w:w="1459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0FB94805" w14:textId="6788B716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F6104D">
              <w:rPr>
                <w:sz w:val="18"/>
                <w:szCs w:val="18"/>
              </w:rPr>
              <w:t xml:space="preserve">28 </w:t>
            </w:r>
            <w:r w:rsidRPr="004D44DC">
              <w:rPr>
                <w:sz w:val="18"/>
                <w:szCs w:val="18"/>
                <w:lang w:val=""/>
              </w:rPr>
              <w:t>participants in the methotrexate plus gefitinib group and 32 in the methotrexate-only group.</w:t>
            </w:r>
          </w:p>
          <w:p w:rsidR="00F6104D" w:rsidRPr="004D44DC" w:rsidP="005510C9" w14:paraId="2483FB63" w14:textId="520C948C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894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161FDB9C" w14:textId="3EB09F1E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Women aged 18</w:t>
            </w:r>
            <w:r>
              <w:rPr>
                <w:sz w:val="18"/>
                <w:szCs w:val="18"/>
              </w:rPr>
              <w:t>-</w:t>
            </w:r>
            <w:r w:rsidRPr="004D44DC">
              <w:rPr>
                <w:sz w:val="18"/>
                <w:szCs w:val="18"/>
                <w:lang w:val=""/>
              </w:rPr>
              <w:t>45 years, serum hCG levels at presentation between 1000–10,000 IU/L, a definite or probable diagnosis of ectopic pregnancy, and hemodynamic stability.</w:t>
            </w:r>
          </w:p>
          <w:p w:rsidR="00F6104D" w:rsidRPr="004D44DC" w:rsidP="005510C9" w14:paraId="764FC241" w14:textId="5F38B906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4D44DC" w:rsidP="004D44DC" w14:paraId="6CDC27C7" w14:textId="42C5377B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Japanese ethnicity, pregnancy of unknown location, intra-abdominal bleeding, prior history of lung disease, abnormal renal, hepatic, or hematologic indices, or the presence of gastrointestinal or dermatological conditions.</w:t>
            </w:r>
          </w:p>
        </w:tc>
        <w:tc>
          <w:tcPr>
            <w:tcW w:w="1478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419C2BFE" w14:textId="55AFC74C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One intramuscular injection of methotrexate (50 mg/m²) combined with daily oral gefitinib 250 mg for seven days.</w:t>
            </w:r>
          </w:p>
          <w:p w:rsidR="00F6104D" w:rsidRPr="004D44DC" w:rsidP="005510C9" w14:paraId="54EEFA59" w14:textId="1F509986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E352D3" w14:paraId="6F070850" w14:textId="6328B3C8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7 days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9668DD" w14:paraId="7BD6D90C" w14:textId="2B85E38A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6 months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5914015A" w14:textId="77777777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Resolution of tubal ectopic pregnancy, safety profile, tolerability, and adverse effects.</w:t>
            </w:r>
          </w:p>
          <w:p w:rsidR="00F6104D" w:rsidRPr="004D44DC" w:rsidP="00F6104D" w14:paraId="7C51A874" w14:textId="6196900C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0D5E5E99" w14:textId="3C09A610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The methotrexate</w:t>
            </w:r>
            <w:r>
              <w:rPr>
                <w:sz w:val="18"/>
                <w:szCs w:val="18"/>
              </w:rPr>
              <w:t>-</w:t>
            </w:r>
            <w:r w:rsidRPr="004D44DC">
              <w:rPr>
                <w:sz w:val="18"/>
                <w:szCs w:val="18"/>
                <w:lang w:val=""/>
              </w:rPr>
              <w:t>gefitinib regimen achieved resolution in at least 70% of ectopic pregnancies.</w:t>
            </w:r>
          </w:p>
          <w:p w:rsidR="00F6104D" w:rsidRPr="004D44DC" w:rsidP="00F6104D" w14:paraId="63B85729" w14:textId="35BB19B2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</w:tr>
      <w:tr w14:paraId="1272427B" w14:textId="77777777" w:rsidTr="00F6104D">
        <w:tblPrEx>
          <w:tblW w:w="14400" w:type="dxa"/>
          <w:jc w:val="center"/>
          <w:tblLook w:val="04A0"/>
        </w:tblPrEx>
        <w:trPr>
          <w:trHeight w:val="839"/>
          <w:jc w:val="center"/>
        </w:trPr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1163FFD5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Skubisz</w:t>
            </w:r>
            <w:r w:rsidRPr="00F6104D">
              <w:rPr>
                <w:sz w:val="18"/>
                <w:szCs w:val="18"/>
              </w:rPr>
              <w:t xml:space="preserve"> et. al. 2013</w:t>
            </w:r>
          </w:p>
        </w:tc>
        <w:tc>
          <w:tcPr>
            <w:tcW w:w="1818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18B53BF2" w14:textId="02B61783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Single-arm clinical trial with historical controls, conducted in Australia and the United Kingdom between October 2010 and October 2011.</w:t>
            </w:r>
          </w:p>
          <w:p w:rsidR="00F6104D" w:rsidRPr="004D44DC" w:rsidP="005510C9" w14:paraId="445A454D" w14:textId="7BC98089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459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32F0C654" w14:textId="4C8CE9E2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>
              <w:rPr>
                <w:sz w:val="18"/>
                <w:szCs w:val="18"/>
              </w:rPr>
              <w:t xml:space="preserve">Twelve </w:t>
            </w:r>
            <w:r w:rsidRPr="004D44DC">
              <w:rPr>
                <w:sz w:val="18"/>
                <w:szCs w:val="18"/>
                <w:lang w:val=""/>
              </w:rPr>
              <w:t>participants received methotrexate plus gefitinib, while 71 were treated with methotrexate alone.</w:t>
            </w:r>
          </w:p>
          <w:p w:rsidR="00F6104D" w:rsidRPr="004D44DC" w:rsidP="005510C9" w14:paraId="56217A48" w14:textId="59F54195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894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05B51BCE" w14:textId="176510FF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 xml:space="preserve">Hemodynamically stable women with serum hCG levels below 3000 IU/L, gestational sac &lt;4 cm without fetal cardiac activity, and normal hepatic, renal, and </w:t>
            </w:r>
            <w:r w:rsidRPr="004D44DC">
              <w:rPr>
                <w:sz w:val="18"/>
                <w:szCs w:val="18"/>
                <w:lang w:val=""/>
              </w:rPr>
              <w:t>hematologic parameters.</w:t>
            </w:r>
          </w:p>
          <w:p w:rsidR="00F6104D" w:rsidRPr="004D44DC" w:rsidP="005510C9" w14:paraId="5D5CF7CB" w14:textId="0FF85780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7D4B5EFE" w14:textId="77777777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Japanese ethnicity or the presence of significant pulmonary, gastrointestinal, or dermatological disease.</w:t>
            </w:r>
          </w:p>
          <w:p w:rsidR="00F6104D" w:rsidRPr="004D44DC" w:rsidP="005510C9" w14:paraId="529B0634" w14:textId="5B19F23E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478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4D44DC" w:rsidP="004D44DC" w14:paraId="2049E278" w14:textId="3F1345E7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 xml:space="preserve">Single intramuscular injection of methotrexate (50 mg/m²) on day 1 combined with daily oral gefitinib (250 </w:t>
            </w:r>
            <w:r w:rsidRPr="004D44DC">
              <w:rPr>
                <w:sz w:val="18"/>
                <w:szCs w:val="18"/>
                <w:lang w:val=""/>
              </w:rPr>
              <w:t>mg). The first three participants received gefitinib for 1 day, the next three for 3 days, and the remaining six for 7 days.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9668DD" w:rsidRPr="009668DD" w:rsidP="009668DD" w14:paraId="0D98E9B2" w14:textId="28BC0659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9668DD">
              <w:rPr>
                <w:sz w:val="18"/>
                <w:szCs w:val="18"/>
                <w:lang w:val=""/>
              </w:rPr>
              <w:t xml:space="preserve">The first three participants received gefitinib for 1 day, the next three participants for 3 days, </w:t>
            </w:r>
            <w:r w:rsidRPr="009668DD">
              <w:rPr>
                <w:sz w:val="18"/>
                <w:szCs w:val="18"/>
                <w:lang w:val=""/>
              </w:rPr>
              <w:t>and the last six participants for 7 days.</w:t>
            </w:r>
          </w:p>
          <w:p w:rsidR="00F6104D" w:rsidRPr="009668DD" w:rsidP="005510C9" w14:paraId="4D81C672" w14:textId="3E49F8A1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9668DD" w14:paraId="06A6EDBE" w14:textId="74E0E4AB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6 months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4CFB3BD5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Safety and tolerability.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4D44DC" w:rsidP="004D44DC" w14:paraId="5D3341DA" w14:textId="663342C5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 xml:space="preserve">Methotrexate combined with gefitinib appeared more effective than methotrexate alone for ectopic </w:t>
            </w:r>
            <w:r w:rsidRPr="004D44DC">
              <w:rPr>
                <w:sz w:val="18"/>
                <w:szCs w:val="18"/>
                <w:lang w:val=""/>
              </w:rPr>
              <w:t>pregnancy, though it was associated with mild adverse effects.</w:t>
            </w:r>
          </w:p>
        </w:tc>
      </w:tr>
      <w:tr w14:paraId="1D82B327" w14:textId="77777777" w:rsidTr="00F6104D">
        <w:tblPrEx>
          <w:tblW w:w="14400" w:type="dxa"/>
          <w:jc w:val="center"/>
          <w:tblLook w:val="04A0"/>
        </w:tblPrEx>
        <w:trPr>
          <w:trHeight w:val="546"/>
          <w:jc w:val="center"/>
        </w:trPr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446D2CF1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Horne et. al. 2014</w:t>
            </w:r>
          </w:p>
        </w:tc>
        <w:tc>
          <w:tcPr>
            <w:tcW w:w="1818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2B620599" w14:textId="59A56148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 xml:space="preserve">Case series from the United </w:t>
            </w:r>
            <w:r w:rsidRPr="00F6104D">
              <w:rPr>
                <w:sz w:val="18"/>
                <w:szCs w:val="18"/>
              </w:rPr>
              <w:t>Kingdom</w:t>
            </w:r>
            <w:r w:rsidRPr="00F6104D">
              <w:rPr>
                <w:sz w:val="18"/>
                <w:szCs w:val="18"/>
              </w:rPr>
              <w:t xml:space="preserve"> and Australia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459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6A7D9592" w14:textId="36988851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Eight patients received gefitinib and methotrexate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894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0ABA5B3E" w14:textId="7F98C1B3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Hemodynamically stable women with non-tubal ectopic pregnancy and normal hematologic, renal, and hepatic indices.</w:t>
            </w:r>
          </w:p>
          <w:p w:rsidR="00F6104D" w:rsidRPr="004D44DC" w:rsidP="005510C9" w14:paraId="6EDFFDD1" w14:textId="2A4B22CE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4D44DC" w:rsidP="004D44DC" w14:paraId="22193DD4" w14:textId="3CC02300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Severe dermatological, gastrointestinal, or pulmonary disease; allergy to gefitinib and/or methotrexate; and Japanese ethnicity.</w:t>
            </w:r>
          </w:p>
        </w:tc>
        <w:tc>
          <w:tcPr>
            <w:tcW w:w="1478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00170029" w14:textId="6F2E67DC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Daily oral gefitinib 250 mg for 7 days, in addition to a single intramuscular dose of methotrexate (50 mg/m²) on Day 1.</w:t>
            </w:r>
          </w:p>
          <w:p w:rsidR="00F6104D" w:rsidRPr="004D44DC" w:rsidP="005510C9" w14:paraId="3D65AE14" w14:textId="0D6DE44A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9668DD" w14:paraId="00D41AB9" w14:textId="47ADE2C1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7 days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6411DC6F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Ranged from 25 to 196 days.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1C427521" w14:textId="698B9873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Time to resolution,</w:t>
            </w:r>
          </w:p>
          <w:p w:rsidR="00F6104D" w:rsidRPr="00F6104D" w:rsidP="005510C9" w14:textId="698B9873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safety,</w:t>
            </w:r>
          </w:p>
          <w:p w:rsidR="00F6104D" w:rsidRPr="00F6104D" w:rsidP="005510C9" w14:textId="698B9873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tolerability, and adverse events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4D44DC" w:rsidP="004D44DC" w14:paraId="3C943A05" w14:textId="77F481D2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Combination therapy with gefitinib and methotrexate showed encouraging results for women with non-tubal ectopic pregnancy.</w:t>
            </w:r>
          </w:p>
        </w:tc>
      </w:tr>
      <w:tr w14:paraId="49770820" w14:textId="77777777" w:rsidTr="00F6104D">
        <w:tblPrEx>
          <w:tblW w:w="14400" w:type="dxa"/>
          <w:jc w:val="center"/>
          <w:tblLook w:val="04A0"/>
        </w:tblPrEx>
        <w:trPr>
          <w:trHeight w:val="546"/>
          <w:jc w:val="center"/>
        </w:trPr>
        <w:tc>
          <w:tcPr>
            <w:tcW w:w="935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3A1F90C5" w14:textId="77777777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Italiano</w:t>
            </w:r>
            <w:r w:rsidRPr="00F6104D">
              <w:rPr>
                <w:sz w:val="18"/>
                <w:szCs w:val="18"/>
              </w:rPr>
              <w:t xml:space="preserve"> et. al. 2019</w:t>
            </w:r>
          </w:p>
        </w:tc>
        <w:tc>
          <w:tcPr>
            <w:tcW w:w="1818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6801B8D8" w14:textId="3891F407">
            <w:pPr>
              <w:ind w:firstLine="0" w:firstLineChars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Pr="00F6104D">
              <w:rPr>
                <w:sz w:val="18"/>
                <w:szCs w:val="18"/>
              </w:rPr>
              <w:t>ase report and case series, Australia</w:t>
            </w:r>
            <w:r w:rsidR="00E352D3">
              <w:rPr>
                <w:sz w:val="18"/>
                <w:szCs w:val="18"/>
              </w:rPr>
              <w:t>.</w:t>
            </w:r>
          </w:p>
          <w:p w:rsidR="00F6104D" w:rsidRPr="00F6104D" w:rsidP="00F6104D" w14:paraId="251D2A29" w14:textId="77777777">
            <w:pPr>
              <w:ind w:firstLine="360"/>
              <w:jc w:val="left"/>
              <w:rPr>
                <w:sz w:val="18"/>
                <w:szCs w:val="18"/>
              </w:rPr>
            </w:pPr>
          </w:p>
        </w:tc>
        <w:tc>
          <w:tcPr>
            <w:tcW w:w="1459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6AE72BC0" w14:textId="524B8776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1 received gefitinib and methotrexate, and 46 received methotrexate</w:t>
            </w:r>
            <w:r w:rsidR="00E352D3">
              <w:rPr>
                <w:sz w:val="18"/>
                <w:szCs w:val="18"/>
              </w:rPr>
              <w:t>.</w:t>
            </w:r>
          </w:p>
          <w:p w:rsidR="00F6104D" w:rsidRPr="00F6104D" w:rsidP="00F6104D" w14:paraId="4186622E" w14:textId="77777777">
            <w:pPr>
              <w:ind w:firstLine="360"/>
              <w:jc w:val="left"/>
              <w:rPr>
                <w:sz w:val="18"/>
                <w:szCs w:val="18"/>
              </w:rPr>
            </w:pPr>
          </w:p>
        </w:tc>
        <w:tc>
          <w:tcPr>
            <w:tcW w:w="1894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51EB0A72" w14:textId="5AA3A9AA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The reported case involved a live, non-tubal ectopic pregnancy in a woman with a poor surgical prognosis and high baseline serum hCG, managed medically.</w:t>
            </w:r>
          </w:p>
          <w:p w:rsidR="00F6104D" w:rsidRPr="004D44DC" w:rsidP="005510C9" w14:paraId="5B715B3F" w14:textId="40FCA077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  <w:p w:rsidR="00F6104D" w:rsidRPr="00F6104D" w:rsidP="00F6104D" w14:paraId="26C6663E" w14:textId="77777777">
            <w:pPr>
              <w:ind w:firstLine="360"/>
              <w:jc w:val="left"/>
              <w:rPr>
                <w:sz w:val="18"/>
                <w:szCs w:val="18"/>
              </w:rPr>
            </w:pPr>
          </w:p>
        </w:tc>
        <w:tc>
          <w:tcPr>
            <w:tcW w:w="1636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5510C9" w14:paraId="244D10A6" w14:textId="6FF2D861">
            <w:pPr>
              <w:ind w:firstLine="200" w:firstLineChars="111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NR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478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4D44DC" w:rsidP="004D44DC" w14:paraId="613C9E18" w14:textId="41F22DA6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Intramuscular methotrexate (1 mg/kg) is administered every other day, alternating with folinic acid 7.5 mg. Oral gefitinib 250 mg daily was initiated two days after the first methotrexate dose and continued for 7 days.</w:t>
            </w: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9668DD" w14:paraId="6D89E42B" w14:textId="0EA76A83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7 days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100" w:type="dxa"/>
            <w:tcBorders>
              <w:left w:val="nil"/>
              <w:bottom w:val="single" w:sz="4" w:space="0" w:color="auto"/>
              <w:right w:val="nil"/>
            </w:tcBorders>
          </w:tcPr>
          <w:p w:rsidR="00F6104D" w:rsidRPr="00F6104D" w:rsidP="009668DD" w14:paraId="3E444548" w14:textId="1E1B96A4">
            <w:pPr>
              <w:ind w:firstLine="0" w:firstLineChars="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>1 month</w:t>
            </w:r>
            <w:r w:rsidR="00E352D3">
              <w:rPr>
                <w:sz w:val="18"/>
                <w:szCs w:val="18"/>
              </w:rPr>
              <w:t>.</w:t>
            </w: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5C7A6F32" w14:textId="66295FAA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Successful resolution and occurrence of adverse events.</w:t>
            </w:r>
          </w:p>
          <w:p w:rsidR="00F6104D" w:rsidRPr="004D44DC" w:rsidP="004D44DC" w14:paraId="37087488" w14:textId="6008B03F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  <w:tc>
          <w:tcPr>
            <w:tcW w:w="1402" w:type="dxa"/>
            <w:tcBorders>
              <w:left w:val="nil"/>
              <w:bottom w:val="single" w:sz="4" w:space="0" w:color="auto"/>
              <w:right w:val="nil"/>
            </w:tcBorders>
          </w:tcPr>
          <w:p w:rsidR="004D44DC" w:rsidRPr="004D44DC" w:rsidP="004D44DC" w14:paraId="5E818061" w14:textId="46EB3E05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  <w:r w:rsidRPr="004D44DC">
              <w:rPr>
                <w:sz w:val="18"/>
                <w:szCs w:val="18"/>
                <w:lang w:val=""/>
              </w:rPr>
              <w:t>Gefitinib combined with multidose methotrexate appeared to be a safe and effective medical option for managing non-tubal ectopic pregnancy in this context.</w:t>
            </w:r>
          </w:p>
          <w:p w:rsidR="00F6104D" w:rsidRPr="004D44DC" w:rsidP="004D44DC" w14:paraId="60B98D85" w14:textId="2926E6D3">
            <w:pPr>
              <w:ind w:firstLine="0" w:firstLineChars="0"/>
              <w:jc w:val="left"/>
              <w:rPr>
                <w:sz w:val="18"/>
                <w:szCs w:val="18"/>
                <w:lang w:val=""/>
              </w:rPr>
            </w:pPr>
          </w:p>
        </w:tc>
      </w:tr>
      <w:tr w14:paraId="148B751D" w14:textId="77777777" w:rsidTr="00F6104D">
        <w:tblPrEx>
          <w:tblW w:w="14400" w:type="dxa"/>
          <w:jc w:val="center"/>
          <w:tblLook w:val="04A0"/>
        </w:tblPrEx>
        <w:trPr>
          <w:trHeight w:val="320"/>
          <w:jc w:val="center"/>
        </w:trPr>
        <w:tc>
          <w:tcPr>
            <w:tcW w:w="14400" w:type="dxa"/>
            <w:gridSpan w:val="10"/>
            <w:tcBorders>
              <w:left w:val="nil"/>
              <w:right w:val="nil"/>
            </w:tcBorders>
          </w:tcPr>
          <w:p w:rsidR="00F6104D" w:rsidRPr="00F6104D" w:rsidP="00F6104D" w14:paraId="767F812C" w14:textId="77777777">
            <w:pPr>
              <w:ind w:firstLine="360"/>
              <w:jc w:val="left"/>
              <w:rPr>
                <w:sz w:val="18"/>
                <w:szCs w:val="18"/>
              </w:rPr>
            </w:pPr>
            <w:r w:rsidRPr="00F6104D">
              <w:rPr>
                <w:sz w:val="18"/>
                <w:szCs w:val="18"/>
              </w:rPr>
              <w:t xml:space="preserve">RCT: Randomized clinical trial. GI: Gastrointestinal. HCG: Human chorionic </w:t>
            </w:r>
            <w:r w:rsidRPr="00F6104D">
              <w:rPr>
                <w:rStyle w:val="hgkelc"/>
                <w:sz w:val="18"/>
                <w:szCs w:val="18"/>
              </w:rPr>
              <w:t>gonadotropin. IU: International unit. NR: Not available.</w:t>
            </w:r>
          </w:p>
        </w:tc>
      </w:tr>
    </w:tbl>
    <w:p w:rsidR="0071736A" w14:paraId="19F9E8E2" w14:textId="77777777">
      <w:pPr>
        <w:ind w:firstLine="420"/>
      </w:pPr>
    </w:p>
    <w:sectPr w:rsidSect="00F6104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GGothic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595959" w:themeColor="text1" w:themeTint="A6"/>
      </w:rPr>
    </w:lvl>
  </w:abstractNum>
  <w:abstractNum w:abstractNumId="1">
    <w:nsid w:val="FFFFFF89"/>
    <w:multiLevelType w:val="singleLevel"/>
    <w:tmpl w:val="BD0CFA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CA95284"/>
    <w:multiLevelType w:val="hybridMultilevel"/>
    <w:tmpl w:val="8DB4B09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263456">
    <w:abstractNumId w:val="1"/>
  </w:num>
  <w:num w:numId="2" w16cid:durableId="592905652">
    <w:abstractNumId w:val="2"/>
  </w:num>
  <w:num w:numId="3" w16cid:durableId="733553337">
    <w:abstractNumId w:val="0"/>
  </w:num>
  <w:num w:numId="4" w16cid:durableId="172112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04D"/>
    <w:rsid w:val="00017305"/>
    <w:rsid w:val="00143BF2"/>
    <w:rsid w:val="00225A52"/>
    <w:rsid w:val="002E7868"/>
    <w:rsid w:val="004A052A"/>
    <w:rsid w:val="004D44DC"/>
    <w:rsid w:val="005510C9"/>
    <w:rsid w:val="005B0D97"/>
    <w:rsid w:val="00694087"/>
    <w:rsid w:val="0071736A"/>
    <w:rsid w:val="007350C1"/>
    <w:rsid w:val="009668DD"/>
    <w:rsid w:val="00A51C09"/>
    <w:rsid w:val="00C409BA"/>
    <w:rsid w:val="00D15992"/>
    <w:rsid w:val="00D17C4C"/>
    <w:rsid w:val="00D422A2"/>
    <w:rsid w:val="00D77694"/>
    <w:rsid w:val="00E352D3"/>
    <w:rsid w:val="00F6104D"/>
  </w:rsids>
  <m:mathPr>
    <m:mathFont m:val="Cambria Math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2327303"/>
  <w15:chartTrackingRefBased/>
  <w15:docId w15:val="{6BE9DE22-E931-A148-A037-1C7DB61D2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6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6104D"/>
    <w:pPr>
      <w:widowControl w:val="0"/>
      <w:spacing w:after="0" w:line="240" w:lineRule="auto"/>
      <w:ind w:firstLine="200" w:firstLineChars="200"/>
      <w:jc w:val="both"/>
    </w:pPr>
    <w:rPr>
      <w:rFonts w:ascii="Times New Roman" w:eastAsia="Times New Roman" w:hAnsi="Times New Roman" w:cs="Times New Roman"/>
      <w:color w:val="auto"/>
      <w:kern w:val="2"/>
      <w:sz w:val="21"/>
      <w:szCs w:val="21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4"/>
    <w:qFormat/>
    <w:rsid w:val="002E7868"/>
    <w:pPr>
      <w:keepNext/>
      <w:keepLines/>
      <w:widowControl/>
      <w:spacing w:before="360" w:after="120" w:line="264" w:lineRule="auto"/>
      <w:ind w:firstLine="0" w:firstLineChars="0"/>
      <w:jc w:val="left"/>
      <w:outlineLvl w:val="0"/>
    </w:pPr>
    <w:rPr>
      <w:rFonts w:asciiTheme="majorHAnsi" w:eastAsiaTheme="majorEastAsia" w:hAnsiTheme="majorHAnsi" w:cstheme="majorBidi"/>
      <w:color w:val="000000" w:themeColor="text1"/>
      <w:kern w:val="0"/>
      <w:sz w:val="30"/>
      <w:szCs w:val="30"/>
      <w:lang w:val="" w:eastAsia="en-US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rsid w:val="002E7868"/>
    <w:pPr>
      <w:keepNext/>
      <w:keepLines/>
      <w:widowControl/>
      <w:spacing w:before="200" w:after="80" w:line="264" w:lineRule="auto"/>
      <w:ind w:firstLine="0" w:firstLineChars="0"/>
      <w:jc w:val="left"/>
      <w:outlineLvl w:val="1"/>
    </w:pPr>
    <w:rPr>
      <w:rFonts w:asciiTheme="majorHAnsi" w:eastAsiaTheme="majorEastAsia" w:hAnsiTheme="majorHAnsi" w:cstheme="majorBidi"/>
      <w:color w:val="92278F" w:themeColor="accent1"/>
      <w:kern w:val="0"/>
      <w:sz w:val="24"/>
      <w:szCs w:val="20"/>
      <w:lang w:val="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wHeading">
    <w:name w:val="Row Heading"/>
    <w:basedOn w:val="Normal"/>
    <w:uiPriority w:val="5"/>
    <w:semiHidden/>
    <w:qFormat/>
    <w:rsid w:val="002E7868"/>
    <w:rPr>
      <w:b/>
      <w:bCs/>
    </w:rPr>
  </w:style>
  <w:style w:type="paragraph" w:customStyle="1" w:styleId="FormHeading">
    <w:name w:val="Form Heading"/>
    <w:basedOn w:val="Normal"/>
    <w:uiPriority w:val="3"/>
    <w:semiHidden/>
    <w:qFormat/>
    <w:rsid w:val="002E7868"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rsid w:val="002E7868"/>
    <w:pPr>
      <w:spacing w:after="320"/>
    </w:pPr>
  </w:style>
  <w:style w:type="paragraph" w:customStyle="1" w:styleId="Details">
    <w:name w:val="Details"/>
    <w:basedOn w:val="Normal"/>
    <w:qFormat/>
    <w:rsid w:val="002E7868"/>
    <w:pPr>
      <w:spacing w:after="360"/>
      <w:contextualSpacing/>
    </w:pPr>
    <w:rPr>
      <w:sz w:val="28"/>
    </w:rPr>
  </w:style>
  <w:style w:type="character" w:customStyle="1" w:styleId="Heading1Char">
    <w:name w:val="Heading 1 Char"/>
    <w:basedOn w:val="DefaultParagraphFont"/>
    <w:link w:val="Heading1"/>
    <w:uiPriority w:val="4"/>
    <w:rsid w:val="002E7868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6"/>
    <w:semiHidden/>
    <w:rsid w:val="002E7868"/>
    <w:rPr>
      <w:rFonts w:asciiTheme="majorHAnsi" w:eastAsiaTheme="majorEastAsia" w:hAnsiTheme="majorHAnsi" w:cstheme="majorBidi"/>
      <w:color w:val="92278F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rsid w:val="002E7868"/>
    <w:pPr>
      <w:widowControl/>
      <w:ind w:firstLine="0" w:firstLineChars="0"/>
      <w:jc w:val="right"/>
    </w:pPr>
    <w:rPr>
      <w:rFonts w:asciiTheme="minorHAnsi" w:eastAsiaTheme="minorHAnsi" w:hAnsiTheme="minorHAnsi" w:cstheme="minorBidi"/>
      <w:color w:val="92278F" w:themeColor="accent1"/>
      <w:kern w:val="0"/>
      <w:sz w:val="24"/>
      <w:szCs w:val="20"/>
      <w:lang w:val="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E7868"/>
    <w:rPr>
      <w:color w:val="92278F" w:themeColor="accent1"/>
      <w:sz w:val="24"/>
      <w:szCs w:val="20"/>
    </w:rPr>
  </w:style>
  <w:style w:type="paragraph" w:styleId="ListBullet">
    <w:name w:val="List Bullet"/>
    <w:basedOn w:val="Normal"/>
    <w:uiPriority w:val="10"/>
    <w:qFormat/>
    <w:rsid w:val="002E7868"/>
    <w:pPr>
      <w:widowControl/>
      <w:spacing w:before="100" w:after="100"/>
      <w:ind w:left="720" w:hanging="360" w:firstLineChars="0"/>
      <w:contextualSpacing/>
      <w:jc w:val="left"/>
    </w:pPr>
    <w:rPr>
      <w:rFonts w:asciiTheme="minorHAnsi" w:eastAsiaTheme="minorHAnsi" w:hAnsiTheme="minorHAnsi" w:cstheme="minorBidi"/>
      <w:kern w:val="0"/>
      <w:sz w:val="22"/>
      <w:lang w:val="" w:eastAsia="en-US"/>
    </w:rPr>
  </w:style>
  <w:style w:type="paragraph" w:styleId="ListNumber">
    <w:name w:val="List Number"/>
    <w:basedOn w:val="Normal"/>
    <w:uiPriority w:val="9"/>
    <w:semiHidden/>
    <w:qFormat/>
    <w:rsid w:val="002E7868"/>
    <w:pPr>
      <w:widowControl/>
      <w:numPr>
        <w:numId w:val="4"/>
      </w:numPr>
      <w:spacing w:after="200" w:line="264" w:lineRule="auto"/>
      <w:ind w:firstLine="0" w:firstLineChars="0"/>
      <w:jc w:val="left"/>
    </w:pPr>
    <w:rPr>
      <w:rFonts w:asciiTheme="minorHAnsi" w:eastAsiaTheme="minorHAnsi" w:hAnsiTheme="minorHAnsi" w:cstheme="minorBidi"/>
      <w:color w:val="0D0D0D" w:themeColor="text1" w:themeTint="F2"/>
      <w:kern w:val="0"/>
      <w:sz w:val="24"/>
      <w:szCs w:val="20"/>
      <w:lang w:val="" w:eastAsia="en-US"/>
    </w:rPr>
  </w:style>
  <w:style w:type="paragraph" w:styleId="Title">
    <w:name w:val="Title"/>
    <w:basedOn w:val="Normal"/>
    <w:next w:val="Normal"/>
    <w:link w:val="TitleChar"/>
    <w:uiPriority w:val="6"/>
    <w:qFormat/>
    <w:rsid w:val="002E7868"/>
    <w:pPr>
      <w:widowControl/>
      <w:spacing w:after="480" w:line="264" w:lineRule="auto"/>
      <w:ind w:firstLine="0" w:firstLineChars="0"/>
      <w:contextualSpacing/>
      <w:jc w:val="left"/>
    </w:pPr>
    <w:rPr>
      <w:rFonts w:asciiTheme="majorHAnsi" w:eastAsiaTheme="minorHAnsi" w:hAnsiTheme="majorHAnsi" w:cstheme="minorBidi"/>
      <w:b/>
      <w:caps/>
      <w:kern w:val="0"/>
      <w:sz w:val="52"/>
      <w:szCs w:val="20"/>
      <w:lang w:val="" w:eastAsia="en-US"/>
    </w:rPr>
  </w:style>
  <w:style w:type="character" w:customStyle="1" w:styleId="TitleChar">
    <w:name w:val="Title Char"/>
    <w:basedOn w:val="DefaultParagraphFont"/>
    <w:link w:val="Title"/>
    <w:uiPriority w:val="6"/>
    <w:rsid w:val="002E7868"/>
    <w:rPr>
      <w:rFonts w:asciiTheme="majorHAnsi" w:hAnsiTheme="majorHAnsi"/>
      <w:b/>
      <w:caps/>
      <w:color w:val="auto"/>
      <w:sz w:val="52"/>
      <w:szCs w:val="20"/>
    </w:rPr>
  </w:style>
  <w:style w:type="character" w:styleId="Emphasis">
    <w:name w:val="Emphasis"/>
    <w:basedOn w:val="DefaultParagraphFont"/>
    <w:uiPriority w:val="20"/>
    <w:qFormat/>
    <w:rsid w:val="002E7868"/>
    <w:rPr>
      <w:i/>
      <w:iCs/>
    </w:rPr>
  </w:style>
  <w:style w:type="paragraph" w:styleId="ListParagraph">
    <w:name w:val="List Paragraph"/>
    <w:basedOn w:val="Normal"/>
    <w:uiPriority w:val="34"/>
    <w:unhideWhenUsed/>
    <w:qFormat/>
    <w:rsid w:val="002E7868"/>
    <w:pPr>
      <w:widowControl/>
      <w:spacing w:after="120" w:line="264" w:lineRule="auto"/>
      <w:ind w:left="720" w:firstLine="0" w:firstLineChars="0"/>
      <w:contextualSpacing/>
      <w:jc w:val="left"/>
    </w:pPr>
    <w:rPr>
      <w:rFonts w:asciiTheme="minorHAnsi" w:eastAsiaTheme="minorHAnsi" w:hAnsiTheme="minorHAnsi" w:cstheme="minorBidi"/>
      <w:color w:val="0D0D0D" w:themeColor="text1" w:themeTint="F2"/>
      <w:kern w:val="0"/>
      <w:sz w:val="24"/>
      <w:szCs w:val="20"/>
      <w:lang w:val="" w:eastAsia="en-US"/>
    </w:rPr>
  </w:style>
  <w:style w:type="table" w:styleId="TableGrid">
    <w:name w:val="Table Grid"/>
    <w:basedOn w:val="TableNormal"/>
    <w:uiPriority w:val="39"/>
    <w:qFormat/>
    <w:rsid w:val="00F6104D"/>
    <w:pPr>
      <w:spacing w:after="0" w:line="240" w:lineRule="auto"/>
    </w:pPr>
    <w:rPr>
      <w:rFonts w:ascii="Times New Roman" w:eastAsia="SimSun" w:hAnsi="Times New Roman" w:cs="Times New Roman"/>
      <w:color w:val="auto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efaultParagraphFont"/>
    <w:qFormat/>
    <w:rsid w:val="00F6104D"/>
  </w:style>
  <w:style w:type="paragraph" w:styleId="NormalWeb">
    <w:name w:val="Normal (Web)"/>
    <w:basedOn w:val="Normal"/>
    <w:uiPriority w:val="99"/>
    <w:semiHidden/>
    <w:unhideWhenUsed/>
    <w:rsid w:val="004D44D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نوره بنت حسين بن ذيب بن سعيد القنطاش</dc:creator>
  <cp:lastModifiedBy>نوره بنت حسين بن ذيب بن سعيد القنطاش</cp:lastModifiedBy>
  <cp:revision>6</cp:revision>
  <dcterms:created xsi:type="dcterms:W3CDTF">2025-06-23T05:52:00Z</dcterms:created>
  <dcterms:modified xsi:type="dcterms:W3CDTF">2025-08-18T21:39:00Z</dcterms:modified>
</cp:coreProperties>
</file>